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CRANSTON MARY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CHEMOURS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1007 MARKET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Chemours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90"/>
        <w:gridCol w:w="901"/>
        <w:gridCol w:w="773"/>
        <w:gridCol w:w="598"/>
        <w:gridCol w:w="338"/>
        <w:gridCol w:w="811"/>
        <w:gridCol w:w="426"/>
        <w:gridCol w:w="832"/>
        <w:gridCol w:w="1566"/>
        <w:gridCol w:w="962"/>
        <w:gridCol w:w="90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6,000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15.825</w:t>
            </w:r>
          </w:p>
        </w:tc>
        <w:tc>
          <w:tcPr>
            <w:tcW w:w="15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113,140.9469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directly owned shares, restricted stock units and dividend equivalent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Stein,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04268" TargetMode="External"/><Relationship Id="rId5" Type="http://schemas.openxmlformats.org/officeDocument/2006/relationships/hyperlink" Target="http://www.sec.gov/cgi-bin/browse-edgar?action=getcompany&amp;CIK=00016272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3143</Characters>
  <CharactersWithSpaces>3650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