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Familiar Calderon Gerardo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825"/>
        <w:gridCol w:w="438"/>
        <w:gridCol w:w="745"/>
        <w:gridCol w:w="1479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1,935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15.53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58,547.3746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directly owned shares, restricted stock units and dividend equivalent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holdings have been adjusted to correct an administrative error in prior Form 4s.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President, Advanced Performance Materials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603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3288</Characters>
  <CharactersWithSpaces>3814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