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32"/>
        <w:gridCol w:w="443"/>
        <w:gridCol w:w="748"/>
        <w:gridCol w:w="1396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2,426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15.24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30,868.097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automatically withheld to satisfy tax obligations on vesting restricted stock units and dividend equivalent units. Transactions are exempt from Section 16(b) pursuant to Rule 16b-3. No shares were sold.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directly owned shares, restricted stock units and dividend equivalent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4237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3343</Characters>
  <CharactersWithSpaces>3881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