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MATHER COURTNEY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CHEMOURS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1007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Chemours Co</w:t>
              </w:r>
            </w:hyperlink>
            <w:r>
              <w:rPr/>
              <w:t xml:space="preserve"> [ </w:t>
            </w:r>
            <w:r>
              <w:rPr>
                <w:rFonts w:ascii="Times;serif" w:hAnsi="Times;serif"/>
                <w:color w:val="0000FF"/>
                <w:sz w:val="24"/>
                <w:shd w:fill="FFFFFF" w:val="clear"/>
              </w:rPr>
              <w:t>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12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13.57</w:t>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11,147.0456</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is the economic equivalent of one share of the Issuer's common stock. The deferred stock units become payable upon the first month following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deferred stock units and dividend equivalent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Stein,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717" TargetMode="External"/><Relationship Id="rId5" Type="http://schemas.openxmlformats.org/officeDocument/2006/relationships/hyperlink" Target="http://www.sec.gov/cgi-bin/browse-edgar?action=getcompany&amp;CIK=0001627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3344</Characters>
  <CharactersWithSpaces>3885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