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Martinko Joseph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CHEMOURS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Chemours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33"/>
        <w:gridCol w:w="899"/>
        <w:gridCol w:w="772"/>
        <w:gridCol w:w="597"/>
        <w:gridCol w:w="332"/>
        <w:gridCol w:w="1226"/>
        <w:gridCol w:w="410"/>
        <w:gridCol w:w="730"/>
        <w:gridCol w:w="1462"/>
        <w:gridCol w:w="943"/>
        <w:gridCol w:w="90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1,939.8014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15.47</w:t>
            </w:r>
          </w:p>
        </w:tc>
        <w:tc>
          <w:tcPr>
            <w:tcW w:w="1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55,431.4012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directly owned shares, restricted stock units and dividend equivalent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President, Thermal &amp; Specialized Solutions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Stein,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8020" TargetMode="External"/><Relationship Id="rId5" Type="http://schemas.openxmlformats.org/officeDocument/2006/relationships/hyperlink" Target="http://www.sec.gov/cgi-bin/browse-edgar?action=getcompany&amp;CIK=0001627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3205</Characters>
  <CharactersWithSpaces>3717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